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BA" w:rsidRPr="002A60BA" w:rsidRDefault="002A60BA" w:rsidP="002A60BA">
      <w:pPr>
        <w:spacing w:before="312" w:after="312" w:line="560" w:lineRule="exact"/>
        <w:jc w:val="center"/>
        <w:rPr>
          <w:rFonts w:ascii="华文行楷" w:eastAsia="华文行楷" w:hAnsi="华文楷体" w:cstheme="minorBidi"/>
          <w:b/>
          <w:sz w:val="72"/>
          <w:szCs w:val="22"/>
        </w:rPr>
      </w:pPr>
      <w:bookmarkStart w:id="0" w:name="_GoBack"/>
      <w:bookmarkEnd w:id="0"/>
      <w:r w:rsidRPr="002A60BA">
        <w:rPr>
          <w:rFonts w:ascii="华文行楷" w:eastAsia="华文行楷" w:hAnsi="华文楷体" w:cs="宋体" w:hint="eastAsia"/>
          <w:b/>
          <w:sz w:val="72"/>
          <w:szCs w:val="22"/>
        </w:rPr>
        <w:t>招</w:t>
      </w:r>
      <w:r w:rsidRPr="002A60BA">
        <w:rPr>
          <w:rFonts w:ascii="华文行楷" w:eastAsia="华文行楷" w:hAnsi="华文楷体" w:cstheme="minorBidi" w:hint="eastAsia"/>
          <w:b/>
          <w:sz w:val="72"/>
          <w:szCs w:val="22"/>
        </w:rPr>
        <w:t xml:space="preserve"> </w:t>
      </w:r>
      <w:r w:rsidRPr="002A60BA">
        <w:rPr>
          <w:rFonts w:ascii="华文行楷" w:eastAsia="华文行楷" w:hAnsi="华文楷体" w:cs="宋体" w:hint="eastAsia"/>
          <w:b/>
          <w:sz w:val="72"/>
          <w:szCs w:val="22"/>
        </w:rPr>
        <w:t>标</w:t>
      </w:r>
      <w:r w:rsidRPr="002A60BA">
        <w:rPr>
          <w:rFonts w:ascii="华文行楷" w:eastAsia="华文行楷" w:hAnsi="华文楷体" w:cstheme="minorBidi" w:hint="eastAsia"/>
          <w:b/>
          <w:sz w:val="72"/>
          <w:szCs w:val="22"/>
        </w:rPr>
        <w:t xml:space="preserve"> </w:t>
      </w:r>
      <w:r w:rsidRPr="002A60BA">
        <w:rPr>
          <w:rFonts w:ascii="华文行楷" w:eastAsia="华文行楷" w:hAnsi="华文楷体" w:cs="宋体" w:hint="eastAsia"/>
          <w:b/>
          <w:sz w:val="72"/>
          <w:szCs w:val="22"/>
        </w:rPr>
        <w:t>投</w:t>
      </w:r>
      <w:r w:rsidRPr="002A60BA">
        <w:rPr>
          <w:rFonts w:ascii="华文行楷" w:eastAsia="华文行楷" w:hAnsi="华文楷体" w:cstheme="minorBidi" w:hint="eastAsia"/>
          <w:b/>
          <w:sz w:val="72"/>
          <w:szCs w:val="22"/>
        </w:rPr>
        <w:t xml:space="preserve"> </w:t>
      </w:r>
      <w:r w:rsidRPr="002A60BA">
        <w:rPr>
          <w:rFonts w:ascii="华文行楷" w:eastAsia="华文行楷" w:hAnsi="华文楷体" w:cs="宋体" w:hint="eastAsia"/>
          <w:b/>
          <w:sz w:val="72"/>
          <w:szCs w:val="22"/>
        </w:rPr>
        <w:t>标</w:t>
      </w:r>
      <w:r w:rsidRPr="002A60BA">
        <w:rPr>
          <w:rFonts w:ascii="华文行楷" w:eastAsia="华文行楷" w:hAnsi="华文楷体" w:cstheme="minorBidi" w:hint="eastAsia"/>
          <w:b/>
          <w:sz w:val="72"/>
          <w:szCs w:val="22"/>
        </w:rPr>
        <w:t xml:space="preserve"> </w:t>
      </w:r>
      <w:r w:rsidRPr="002A60BA">
        <w:rPr>
          <w:rFonts w:ascii="华文行楷" w:eastAsia="华文行楷" w:hAnsi="华文楷体" w:cs="宋体" w:hint="eastAsia"/>
          <w:b/>
          <w:sz w:val="72"/>
          <w:szCs w:val="22"/>
        </w:rPr>
        <w:t>指</w:t>
      </w:r>
      <w:r w:rsidRPr="002A60BA">
        <w:rPr>
          <w:rFonts w:ascii="华文行楷" w:eastAsia="华文行楷" w:hAnsi="华文楷体" w:cstheme="minorBidi" w:hint="eastAsia"/>
          <w:b/>
          <w:sz w:val="72"/>
          <w:szCs w:val="22"/>
        </w:rPr>
        <w:t xml:space="preserve"> </w:t>
      </w:r>
      <w:r w:rsidRPr="002A60BA">
        <w:rPr>
          <w:rFonts w:ascii="华文行楷" w:eastAsia="华文行楷" w:hAnsi="华文楷体" w:cs="宋体" w:hint="eastAsia"/>
          <w:b/>
          <w:sz w:val="72"/>
          <w:szCs w:val="22"/>
        </w:rPr>
        <w:t>引</w:t>
      </w:r>
    </w:p>
    <w:p w:rsidR="002A60BA" w:rsidRPr="002A60BA" w:rsidRDefault="002A60BA" w:rsidP="002A60BA">
      <w:pPr>
        <w:spacing w:before="312" w:after="312" w:line="560" w:lineRule="exact"/>
        <w:jc w:val="center"/>
        <w:rPr>
          <w:rFonts w:ascii="仿宋" w:eastAsia="仿宋" w:hAnsi="仿宋" w:cs="仿宋_GB2312"/>
          <w:b/>
          <w:sz w:val="32"/>
          <w:szCs w:val="22"/>
        </w:rPr>
      </w:pPr>
      <w:r w:rsidRPr="002A60BA">
        <w:rPr>
          <w:rFonts w:ascii="仿宋" w:eastAsia="仿宋" w:hAnsi="仿宋" w:cs="仿宋_GB2312"/>
          <w:b/>
          <w:sz w:val="32"/>
          <w:szCs w:val="22"/>
        </w:rPr>
        <w:t>20</w:t>
      </w:r>
      <w:r w:rsidRPr="002A60BA">
        <w:rPr>
          <w:rFonts w:ascii="仿宋" w:eastAsia="仿宋" w:hAnsi="仿宋" w:cs="仿宋_GB2312" w:hint="eastAsia"/>
          <w:b/>
          <w:sz w:val="32"/>
          <w:szCs w:val="22"/>
        </w:rPr>
        <w:t>20</w:t>
      </w:r>
      <w:r w:rsidRPr="002A60BA">
        <w:rPr>
          <w:rFonts w:ascii="仿宋" w:eastAsia="仿宋" w:hAnsi="仿宋" w:cs="宋体"/>
          <w:b/>
          <w:sz w:val="32"/>
          <w:szCs w:val="22"/>
        </w:rPr>
        <w:t>年第</w:t>
      </w:r>
      <w:r>
        <w:rPr>
          <w:rFonts w:ascii="仿宋" w:eastAsia="仿宋" w:hAnsi="仿宋" w:cs="宋体"/>
          <w:b/>
          <w:sz w:val="32"/>
          <w:szCs w:val="22"/>
        </w:rPr>
        <w:t>5</w:t>
      </w:r>
      <w:r w:rsidRPr="002A60BA">
        <w:rPr>
          <w:rFonts w:ascii="仿宋" w:eastAsia="仿宋" w:hAnsi="仿宋" w:cs="宋体"/>
          <w:b/>
          <w:sz w:val="32"/>
          <w:szCs w:val="22"/>
        </w:rPr>
        <w:t>期</w:t>
      </w:r>
    </w:p>
    <w:p w:rsidR="002A60BA" w:rsidRPr="002A60BA" w:rsidRDefault="002A60BA" w:rsidP="002A60BA">
      <w:pPr>
        <w:spacing w:line="560" w:lineRule="exact"/>
        <w:jc w:val="center"/>
        <w:rPr>
          <w:rFonts w:ascii="仿宋" w:eastAsia="仿宋" w:hAnsi="仿宋" w:cs="仿宋"/>
          <w:b/>
          <w:sz w:val="28"/>
          <w:szCs w:val="22"/>
        </w:rPr>
      </w:pPr>
      <w:r w:rsidRPr="002A60BA">
        <w:rPr>
          <w:rFonts w:ascii="仿宋" w:eastAsia="仿宋" w:hAnsi="仿宋" w:cs="仿宋"/>
          <w:b/>
          <w:sz w:val="28"/>
          <w:szCs w:val="22"/>
        </w:rPr>
        <w:t>广州市建设工程招标管理办公室编印     二○</w:t>
      </w:r>
      <w:r w:rsidRPr="002A60BA">
        <w:rPr>
          <w:rFonts w:ascii="仿宋" w:eastAsia="仿宋" w:hAnsi="仿宋" w:cs="仿宋" w:hint="eastAsia"/>
          <w:b/>
          <w:sz w:val="28"/>
          <w:szCs w:val="22"/>
        </w:rPr>
        <w:t>二</w:t>
      </w:r>
      <w:r w:rsidRPr="002A60BA">
        <w:rPr>
          <w:rFonts w:ascii="仿宋" w:eastAsia="仿宋" w:hAnsi="仿宋" w:cs="仿宋"/>
          <w:b/>
          <w:sz w:val="28"/>
          <w:szCs w:val="22"/>
        </w:rPr>
        <w:t>○年</w:t>
      </w:r>
      <w:r w:rsidRPr="002A60BA">
        <w:rPr>
          <w:rFonts w:ascii="仿宋" w:eastAsia="仿宋" w:hAnsi="仿宋" w:cs="仿宋" w:hint="eastAsia"/>
          <w:b/>
          <w:sz w:val="28"/>
          <w:szCs w:val="22"/>
        </w:rPr>
        <w:t>八</w:t>
      </w:r>
      <w:r w:rsidRPr="002A60BA">
        <w:rPr>
          <w:rFonts w:ascii="仿宋" w:eastAsia="仿宋" w:hAnsi="仿宋" w:cs="仿宋"/>
          <w:b/>
          <w:sz w:val="28"/>
          <w:szCs w:val="22"/>
        </w:rPr>
        <w:t>月</w:t>
      </w:r>
      <w:r>
        <w:rPr>
          <w:rFonts w:ascii="仿宋" w:eastAsia="仿宋" w:hAnsi="仿宋" w:cs="仿宋" w:hint="eastAsia"/>
          <w:b/>
          <w:sz w:val="28"/>
          <w:szCs w:val="22"/>
        </w:rPr>
        <w:t>二十八</w:t>
      </w:r>
      <w:r w:rsidRPr="002A60BA">
        <w:rPr>
          <w:rFonts w:ascii="仿宋" w:eastAsia="仿宋" w:hAnsi="仿宋" w:cs="仿宋"/>
          <w:b/>
          <w:sz w:val="28"/>
          <w:szCs w:val="22"/>
        </w:rPr>
        <w:t>日</w:t>
      </w:r>
    </w:p>
    <w:p w:rsidR="002A60BA" w:rsidRPr="002A60BA" w:rsidRDefault="002A60BA" w:rsidP="002A60BA">
      <w:pPr>
        <w:widowControl/>
        <w:spacing w:line="560" w:lineRule="exact"/>
        <w:rPr>
          <w:rFonts w:ascii="宋体" w:eastAsiaTheme="minorEastAsia" w:hAnsi="宋体" w:cs="宋体"/>
          <w:kern w:val="0"/>
          <w:sz w:val="18"/>
          <w:szCs w:val="18"/>
        </w:rPr>
      </w:pPr>
      <w:r w:rsidRPr="002A60BA">
        <w:rPr>
          <w:rFonts w:ascii="宋体" w:eastAsiaTheme="minorEastAsia" w:hAnsi="宋体" w:cs="宋体"/>
          <w:noProof/>
          <w:kern w:val="0"/>
          <w:sz w:val="18"/>
          <w:szCs w:val="18"/>
        </w:rPr>
        <mc:AlternateContent>
          <mc:Choice Requires="wps">
            <w:drawing>
              <wp:anchor distT="0" distB="0" distL="114300" distR="114300" simplePos="0" relativeHeight="251659264" behindDoc="0" locked="0" layoutInCell="1" allowOverlap="1" wp14:anchorId="05FCEB6D" wp14:editId="52E06F91">
                <wp:simplePos x="0" y="0"/>
                <wp:positionH relativeFrom="column">
                  <wp:posOffset>-114300</wp:posOffset>
                </wp:positionH>
                <wp:positionV relativeFrom="paragraph">
                  <wp:posOffset>238760</wp:posOffset>
                </wp:positionV>
                <wp:extent cx="580072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2C9C95"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18.8pt" to="447.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2wzQEAAFwDAAAOAAAAZHJzL2Uyb0RvYy54bWysU81uEzEQviPxDpbvZDeRAmWVTQ+pyqVA&#10;pJYHcPyza2F7LNvJbl6CF0DiBieO3Hmblsdg7DShLTfEHkY78818nvnGXpyP1pCdDFGDa+l0UlMi&#10;HQehXdfSDzeXL84oiYk5wQw42dK9jPR8+fzZYvCNnEEPRshAkMTFZvAt7VPyTVVF3kvL4gS8dAgq&#10;CJYldENXicAGZLemmtX1y2qAIHwALmPE6MUBpMvCr5Tk6b1SUSZiWoq9pWJDsZtsq+WCNV1gvtf8&#10;vg32D11Yph0eeqK6YImRbdB/UVnNA0RQacLBVqCU5rLMgNNM6yfTXPfMyzILihP9Sab4/2j5u906&#10;EC1wd5Q4ZnFFd59/3H76+uvnF7R337+RaRZp8LHB3JVbhzwmH921vwL+MRIHq565TpZmb/YeGUpF&#10;9agkO9HjUZvhLQjMYdsERbFRBZspUQsylsXsT4uRYyIcg/Ozun41m1PCj1jFmmOhDzG9kWBJ/mmp&#10;0S5rxhq2u4oJW8fUY0oOO7jUxpS9G0eGlr6eI3NGIhgtMlic0G1WJpAdyzenfFkHJHuUFmDrxCFu&#10;HMLHOQ+KbUDs1yHDOY4rLAT31y3fkYd+yfrzKJa/AQAA//8DAFBLAwQUAAYACAAAACEApOfTwN4A&#10;AAAJAQAADwAAAGRycy9kb3ducmV2LnhtbEyPwU7DMBBE70j8g7VIXKrWaauWEOJUCMiNCwXEdRsv&#10;SUS8TmO3DXw9izjAcXZGs2/yzeg6daQhtJ4NzGcJKOLK25ZrAy/P5TQFFSKyxc4zGfikAJvi/CzH&#10;zPoTP9FxG2slJRwyNNDE2Gdah6ohh2Hme2Lx3v3gMIocam0HPEm56/QiSdbaYcvyocGe7hqqPrYH&#10;ZyCUr7QvvybVJHlb1p4W+/vHBzTm8mK8vQEVaYx/YfjBF3QohGnnD2yD6gxM56lsiQaWV2tQEkiv&#10;VytQu9+DLnL9f0HxDQAA//8DAFBLAQItABQABgAIAAAAIQC2gziS/gAAAOEBAAATAAAAAAAAAAAA&#10;AAAAAAAAAABbQ29udGVudF9UeXBlc10ueG1sUEsBAi0AFAAGAAgAAAAhADj9If/WAAAAlAEAAAsA&#10;AAAAAAAAAAAAAAAALwEAAF9yZWxzLy5yZWxzUEsBAi0AFAAGAAgAAAAhAGZpLbDNAQAAXAMAAA4A&#10;AAAAAAAAAAAAAAAALgIAAGRycy9lMm9Eb2MueG1sUEsBAi0AFAAGAAgAAAAhAKTn08DeAAAACQEA&#10;AA8AAAAAAAAAAAAAAAAAJwQAAGRycy9kb3ducmV2LnhtbFBLBQYAAAAABAAEAPMAAAAyBQAAAAA=&#10;"/>
            </w:pict>
          </mc:Fallback>
        </mc:AlternateContent>
      </w:r>
    </w:p>
    <w:p w:rsidR="002A60BA" w:rsidRDefault="002A60BA" w:rsidP="002A60BA">
      <w:pPr>
        <w:adjustRightInd w:val="0"/>
        <w:snapToGrid w:val="0"/>
        <w:spacing w:line="360" w:lineRule="auto"/>
        <w:ind w:leftChars="500" w:left="1050"/>
        <w:jc w:val="left"/>
        <w:rPr>
          <w:rFonts w:ascii="黑体" w:eastAsia="黑体" w:hAnsi="黑体" w:cs="黑体"/>
          <w:color w:val="000000" w:themeColor="text1"/>
          <w:kern w:val="0"/>
          <w:sz w:val="32"/>
          <w:szCs w:val="32"/>
        </w:rPr>
      </w:pPr>
    </w:p>
    <w:p w:rsidR="00984778" w:rsidRPr="002A60BA" w:rsidRDefault="00F819CE" w:rsidP="002A60BA">
      <w:pPr>
        <w:adjustRightInd w:val="0"/>
        <w:snapToGrid w:val="0"/>
        <w:spacing w:line="360" w:lineRule="auto"/>
        <w:ind w:leftChars="400" w:left="1280" w:hangingChars="100" w:hanging="440"/>
        <w:jc w:val="left"/>
        <w:rPr>
          <w:rFonts w:ascii="方正小标宋简体" w:eastAsia="方正小标宋简体" w:hAnsi="仿宋" w:cs="方正小标宋_GBK"/>
          <w:bCs/>
          <w:color w:val="000000" w:themeColor="text1"/>
          <w:kern w:val="0"/>
          <w:sz w:val="44"/>
          <w:szCs w:val="44"/>
        </w:rPr>
      </w:pPr>
      <w:r w:rsidRPr="002A60BA">
        <w:rPr>
          <w:rFonts w:ascii="方正小标宋简体" w:eastAsia="方正小标宋简体" w:hAnsi="仿宋" w:cs="方正小标宋_GBK" w:hint="eastAsia"/>
          <w:bCs/>
          <w:color w:val="000000" w:themeColor="text1"/>
          <w:kern w:val="0"/>
          <w:sz w:val="44"/>
          <w:szCs w:val="44"/>
        </w:rPr>
        <w:t>关于</w:t>
      </w:r>
      <w:r w:rsidR="009864D7" w:rsidRPr="002A60BA">
        <w:rPr>
          <w:rFonts w:ascii="方正小标宋简体" w:eastAsia="方正小标宋简体" w:hAnsi="仿宋" w:cs="方正小标宋_GBK" w:hint="eastAsia"/>
          <w:bCs/>
          <w:color w:val="000000" w:themeColor="text1"/>
          <w:kern w:val="0"/>
          <w:sz w:val="44"/>
          <w:szCs w:val="44"/>
        </w:rPr>
        <w:t>规范</w:t>
      </w:r>
      <w:r w:rsidRPr="002A60BA">
        <w:rPr>
          <w:rFonts w:ascii="方正小标宋简体" w:eastAsia="方正小标宋简体" w:hAnsi="仿宋" w:cs="方正小标宋_GBK" w:hint="eastAsia"/>
          <w:bCs/>
          <w:color w:val="000000" w:themeColor="text1"/>
          <w:kern w:val="0"/>
          <w:sz w:val="44"/>
          <w:szCs w:val="44"/>
        </w:rPr>
        <w:t>房屋建筑工程</w:t>
      </w:r>
      <w:r w:rsidR="009864D7" w:rsidRPr="002A60BA">
        <w:rPr>
          <w:rFonts w:ascii="方正小标宋简体" w:eastAsia="方正小标宋简体" w:hAnsi="仿宋" w:cs="方正小标宋_GBK" w:hint="eastAsia"/>
          <w:bCs/>
          <w:color w:val="000000" w:themeColor="text1"/>
          <w:kern w:val="0"/>
          <w:sz w:val="44"/>
          <w:szCs w:val="44"/>
        </w:rPr>
        <w:t>收取投标保证金、履约保证金的指引（试行）</w:t>
      </w:r>
    </w:p>
    <w:p w:rsidR="002A60BA" w:rsidRDefault="002A60BA" w:rsidP="00C111D6">
      <w:pPr>
        <w:adjustRightInd w:val="0"/>
        <w:snapToGrid w:val="0"/>
        <w:spacing w:line="360" w:lineRule="auto"/>
        <w:ind w:firstLineChars="200" w:firstLine="640"/>
        <w:jc w:val="left"/>
        <w:rPr>
          <w:rFonts w:ascii="黑体" w:eastAsia="黑体" w:hAnsi="黑体" w:cs="黑体"/>
          <w:color w:val="000000" w:themeColor="text1"/>
          <w:kern w:val="0"/>
          <w:sz w:val="32"/>
          <w:szCs w:val="32"/>
        </w:rPr>
      </w:pPr>
    </w:p>
    <w:p w:rsidR="00984778" w:rsidRPr="002A60BA" w:rsidRDefault="00C111D6" w:rsidP="00C111D6">
      <w:pPr>
        <w:adjustRightInd w:val="0"/>
        <w:snapToGrid w:val="0"/>
        <w:spacing w:line="360" w:lineRule="auto"/>
        <w:ind w:firstLineChars="200" w:firstLine="640"/>
        <w:jc w:val="left"/>
        <w:rPr>
          <w:rFonts w:ascii="仿宋" w:eastAsia="仿宋" w:hAnsi="仿宋" w:cs="仿宋_GB2312"/>
          <w:color w:val="000000" w:themeColor="text1"/>
          <w:kern w:val="0"/>
          <w:sz w:val="32"/>
          <w:szCs w:val="32"/>
        </w:rPr>
      </w:pPr>
      <w:r w:rsidRPr="002A60BA">
        <w:rPr>
          <w:rFonts w:ascii="仿宋" w:eastAsia="仿宋" w:hAnsi="仿宋" w:cs="仿宋_GB2312" w:hint="eastAsia"/>
          <w:color w:val="000000" w:themeColor="text1"/>
          <w:kern w:val="0"/>
          <w:sz w:val="32"/>
          <w:szCs w:val="32"/>
        </w:rPr>
        <w:t>为了规范我市房屋建筑工程收取投标保证金和履约保证金</w:t>
      </w:r>
      <w:r w:rsidR="00D26ADE" w:rsidRPr="002A60BA">
        <w:rPr>
          <w:rFonts w:ascii="仿宋" w:eastAsia="仿宋" w:hAnsi="仿宋" w:cs="仿宋_GB2312" w:hint="eastAsia"/>
          <w:color w:val="000000" w:themeColor="text1"/>
          <w:kern w:val="0"/>
          <w:sz w:val="32"/>
          <w:szCs w:val="32"/>
        </w:rPr>
        <w:t>（以下简称“保证金”）</w:t>
      </w:r>
      <w:r w:rsidRPr="002A60BA">
        <w:rPr>
          <w:rFonts w:ascii="仿宋" w:eastAsia="仿宋" w:hAnsi="仿宋" w:cs="仿宋_GB2312" w:hint="eastAsia"/>
          <w:color w:val="000000" w:themeColor="text1"/>
          <w:kern w:val="0"/>
          <w:sz w:val="32"/>
          <w:szCs w:val="32"/>
        </w:rPr>
        <w:t>的行为，进一步完善全流程电子化招标流程，优化营商环境，</w:t>
      </w:r>
      <w:r w:rsidR="00D26ADE" w:rsidRPr="002A60BA">
        <w:rPr>
          <w:rFonts w:ascii="仿宋" w:eastAsia="仿宋" w:hAnsi="仿宋" w:cs="仿宋_GB2312" w:hint="eastAsia"/>
          <w:color w:val="000000" w:themeColor="text1"/>
          <w:kern w:val="0"/>
          <w:sz w:val="32"/>
          <w:szCs w:val="32"/>
        </w:rPr>
        <w:t>降低建筑企业负担，</w:t>
      </w:r>
      <w:r w:rsidRPr="002A60BA">
        <w:rPr>
          <w:rFonts w:ascii="仿宋" w:eastAsia="仿宋" w:hAnsi="仿宋" w:cs="仿宋_GB2312" w:hint="eastAsia"/>
          <w:color w:val="000000" w:themeColor="text1"/>
          <w:kern w:val="0"/>
          <w:sz w:val="32"/>
          <w:szCs w:val="32"/>
        </w:rPr>
        <w:t>依据《中华人民共和国招标投标法》、《国务院办公厅关于清理规范工程建设领域保证金的通知》（国办发［2016］49号）和《广东省住房和城乡建设厅关于深化房屋建筑和市政基础设施工程领域招标投标改革的实施意见》（粤建市［20</w:t>
      </w:r>
      <w:r w:rsidRPr="002A60BA">
        <w:rPr>
          <w:rFonts w:ascii="仿宋" w:eastAsia="仿宋" w:hAnsi="仿宋" w:cs="仿宋_GB2312"/>
          <w:color w:val="000000" w:themeColor="text1"/>
          <w:kern w:val="0"/>
          <w:sz w:val="32"/>
          <w:szCs w:val="32"/>
        </w:rPr>
        <w:t>20</w:t>
      </w:r>
      <w:r w:rsidRPr="002A60BA">
        <w:rPr>
          <w:rFonts w:ascii="仿宋" w:eastAsia="仿宋" w:hAnsi="仿宋" w:cs="仿宋_GB2312" w:hint="eastAsia"/>
          <w:color w:val="000000" w:themeColor="text1"/>
          <w:kern w:val="0"/>
          <w:sz w:val="32"/>
          <w:szCs w:val="32"/>
        </w:rPr>
        <w:t>］119号）</w:t>
      </w:r>
      <w:r w:rsidR="008768FC" w:rsidRPr="002A60BA">
        <w:rPr>
          <w:rFonts w:ascii="仿宋" w:eastAsia="仿宋" w:hAnsi="仿宋" w:cs="仿宋_GB2312" w:hint="eastAsia"/>
          <w:color w:val="000000" w:themeColor="text1"/>
          <w:kern w:val="0"/>
          <w:sz w:val="32"/>
          <w:szCs w:val="32"/>
        </w:rPr>
        <w:t>等相关文件法规，制定</w:t>
      </w:r>
      <w:r w:rsidR="00145848" w:rsidRPr="002A60BA">
        <w:rPr>
          <w:rFonts w:ascii="仿宋" w:eastAsia="仿宋" w:hAnsi="仿宋" w:cs="仿宋_GB2312" w:hint="eastAsia"/>
          <w:color w:val="000000" w:themeColor="text1"/>
          <w:kern w:val="0"/>
          <w:sz w:val="32"/>
          <w:szCs w:val="32"/>
        </w:rPr>
        <w:t>本</w:t>
      </w:r>
      <w:r w:rsidR="008768FC" w:rsidRPr="002A60BA">
        <w:rPr>
          <w:rFonts w:ascii="仿宋" w:eastAsia="仿宋" w:hAnsi="仿宋" w:cs="仿宋_GB2312" w:hint="eastAsia"/>
          <w:color w:val="000000" w:themeColor="text1"/>
          <w:kern w:val="0"/>
          <w:sz w:val="32"/>
          <w:szCs w:val="32"/>
        </w:rPr>
        <w:t>指引：</w:t>
      </w:r>
    </w:p>
    <w:p w:rsidR="00D26ADE" w:rsidRPr="0019474E" w:rsidRDefault="00D26ADE" w:rsidP="00D26ADE">
      <w:pPr>
        <w:adjustRightInd w:val="0"/>
        <w:snapToGrid w:val="0"/>
        <w:spacing w:line="360" w:lineRule="auto"/>
        <w:ind w:firstLineChars="200" w:firstLine="640"/>
        <w:jc w:val="left"/>
        <w:rPr>
          <w:rFonts w:ascii="黑体" w:eastAsia="黑体" w:hAnsi="黑体" w:cs="黑体"/>
          <w:b/>
          <w:sz w:val="32"/>
          <w:szCs w:val="32"/>
        </w:rPr>
      </w:pPr>
      <w:r w:rsidRPr="002A60BA">
        <w:rPr>
          <w:rFonts w:ascii="黑体" w:eastAsia="黑体" w:hAnsi="黑体" w:cs="黑体" w:hint="eastAsia"/>
          <w:color w:val="000000" w:themeColor="text1"/>
          <w:kern w:val="0"/>
          <w:sz w:val="32"/>
          <w:szCs w:val="32"/>
        </w:rPr>
        <w:t>一、招标文件关于保证金的编制要求</w:t>
      </w:r>
    </w:p>
    <w:p w:rsidR="00D26ADE" w:rsidRPr="002A60BA" w:rsidRDefault="00D26ADE" w:rsidP="00492350">
      <w:pPr>
        <w:adjustRightInd w:val="0"/>
        <w:snapToGrid w:val="0"/>
        <w:spacing w:line="360" w:lineRule="auto"/>
        <w:ind w:firstLineChars="200" w:firstLine="640"/>
        <w:jc w:val="left"/>
        <w:rPr>
          <w:rFonts w:ascii="仿宋" w:eastAsia="仿宋" w:hAnsi="仿宋" w:cs="仿宋_GB2312"/>
          <w:color w:val="000000" w:themeColor="text1"/>
          <w:kern w:val="0"/>
          <w:sz w:val="32"/>
          <w:szCs w:val="32"/>
        </w:rPr>
      </w:pPr>
      <w:r w:rsidRPr="002A60BA">
        <w:rPr>
          <w:rFonts w:ascii="仿宋" w:eastAsia="仿宋" w:hAnsi="仿宋" w:cs="仿宋_GB2312" w:hint="eastAsia"/>
          <w:color w:val="000000" w:themeColor="text1"/>
          <w:kern w:val="0"/>
          <w:sz w:val="32"/>
          <w:szCs w:val="32"/>
        </w:rPr>
        <w:t>对依法必须招标的房屋建筑工程项目，招标人依法自行选择是否要求投标人提供投标保证金或履约保证金。招标人要求投标人提交投标保证金或履约保证金的，应在招标文件</w:t>
      </w:r>
      <w:r w:rsidRPr="002A60BA">
        <w:rPr>
          <w:rFonts w:ascii="仿宋" w:eastAsia="仿宋" w:hAnsi="仿宋" w:cs="仿宋_GB2312" w:hint="eastAsia"/>
          <w:color w:val="000000" w:themeColor="text1"/>
          <w:kern w:val="0"/>
          <w:sz w:val="32"/>
          <w:szCs w:val="32"/>
        </w:rPr>
        <w:lastRenderedPageBreak/>
        <w:t>中列明递交保证金的金额、时间、全部形式及依法不予退还投标保证金的情形。招标人不得限定保证金只能以现金形式提交</w:t>
      </w:r>
      <w:r w:rsidR="00492350" w:rsidRPr="002A60BA">
        <w:rPr>
          <w:rFonts w:ascii="仿宋" w:eastAsia="仿宋" w:hAnsi="仿宋" w:cs="仿宋_GB2312" w:hint="eastAsia"/>
          <w:color w:val="000000" w:themeColor="text1"/>
          <w:kern w:val="0"/>
          <w:sz w:val="32"/>
          <w:szCs w:val="32"/>
        </w:rPr>
        <w:t>，应允许投标人根据自身情况，自主选择递交保证金的形式</w:t>
      </w:r>
      <w:r w:rsidRPr="002A60BA">
        <w:rPr>
          <w:rFonts w:ascii="仿宋" w:eastAsia="仿宋" w:hAnsi="仿宋" w:cs="仿宋_GB2312" w:hint="eastAsia"/>
          <w:color w:val="000000" w:themeColor="text1"/>
          <w:kern w:val="0"/>
          <w:sz w:val="32"/>
          <w:szCs w:val="32"/>
        </w:rPr>
        <w:t>。</w:t>
      </w:r>
      <w:r w:rsidR="00F80BF9" w:rsidRPr="002A60BA">
        <w:rPr>
          <w:rFonts w:ascii="仿宋" w:eastAsia="仿宋" w:hAnsi="仿宋" w:cs="仿宋_GB2312" w:hint="eastAsia"/>
          <w:color w:val="000000" w:themeColor="text1"/>
          <w:kern w:val="0"/>
          <w:sz w:val="32"/>
          <w:szCs w:val="32"/>
        </w:rPr>
        <w:t>鼓励招标人免收或降低信用评价情</w:t>
      </w:r>
      <w:r w:rsidR="0001323A" w:rsidRPr="002A60BA">
        <w:rPr>
          <w:rFonts w:ascii="仿宋" w:eastAsia="仿宋" w:hAnsi="仿宋" w:cs="仿宋_GB2312" w:hint="eastAsia"/>
          <w:color w:val="000000" w:themeColor="text1"/>
          <w:kern w:val="0"/>
          <w:sz w:val="32"/>
          <w:szCs w:val="32"/>
        </w:rPr>
        <w:t>况良好的投标人的投标保证金和履约保证金，并优选信用良好的投标人为</w:t>
      </w:r>
      <w:r w:rsidR="00F80BF9" w:rsidRPr="002A60BA">
        <w:rPr>
          <w:rFonts w:ascii="仿宋" w:eastAsia="仿宋" w:hAnsi="仿宋" w:cs="仿宋_GB2312" w:hint="eastAsia"/>
          <w:color w:val="000000" w:themeColor="text1"/>
          <w:kern w:val="0"/>
          <w:sz w:val="32"/>
          <w:szCs w:val="32"/>
        </w:rPr>
        <w:t>中标人。</w:t>
      </w:r>
    </w:p>
    <w:p w:rsidR="00F80BF9" w:rsidRPr="002A60BA" w:rsidRDefault="00492350" w:rsidP="00F80BF9">
      <w:pPr>
        <w:adjustRightInd w:val="0"/>
        <w:snapToGrid w:val="0"/>
        <w:spacing w:line="360" w:lineRule="auto"/>
        <w:ind w:firstLineChars="200" w:firstLine="640"/>
        <w:jc w:val="left"/>
        <w:rPr>
          <w:rFonts w:ascii="仿宋" w:eastAsia="仿宋" w:hAnsi="仿宋" w:cs="仿宋_GB2312"/>
          <w:color w:val="000000" w:themeColor="text1"/>
          <w:kern w:val="0"/>
          <w:sz w:val="32"/>
          <w:szCs w:val="32"/>
        </w:rPr>
      </w:pPr>
      <w:r w:rsidRPr="002A60BA">
        <w:rPr>
          <w:rFonts w:ascii="仿宋" w:eastAsia="仿宋" w:hAnsi="仿宋" w:cs="仿宋_GB2312" w:hint="eastAsia"/>
          <w:color w:val="000000" w:themeColor="text1"/>
          <w:kern w:val="0"/>
          <w:sz w:val="32"/>
          <w:szCs w:val="32"/>
        </w:rPr>
        <w:t>依法必须招标的房屋建筑工程如采用</w:t>
      </w:r>
      <w:r w:rsidR="00BB7DD1" w:rsidRPr="002A60BA">
        <w:rPr>
          <w:rFonts w:ascii="仿宋" w:eastAsia="仿宋" w:hAnsi="仿宋" w:cs="仿宋_GB2312" w:hint="eastAsia"/>
          <w:color w:val="000000" w:themeColor="text1"/>
          <w:kern w:val="0"/>
          <w:sz w:val="32"/>
          <w:szCs w:val="32"/>
        </w:rPr>
        <w:t>非电子</w:t>
      </w:r>
      <w:r w:rsidR="00BB7DD1" w:rsidRPr="002A60BA">
        <w:rPr>
          <w:rFonts w:ascii="仿宋" w:eastAsia="仿宋" w:hAnsi="仿宋" w:cs="仿宋_GB2312"/>
          <w:color w:val="000000" w:themeColor="text1"/>
          <w:kern w:val="0"/>
          <w:sz w:val="32"/>
          <w:szCs w:val="32"/>
        </w:rPr>
        <w:t>形式的</w:t>
      </w:r>
      <w:r w:rsidRPr="002A60BA">
        <w:rPr>
          <w:rFonts w:ascii="仿宋" w:eastAsia="仿宋" w:hAnsi="仿宋" w:cs="仿宋_GB2312" w:hint="eastAsia"/>
          <w:color w:val="000000" w:themeColor="text1"/>
          <w:kern w:val="0"/>
          <w:sz w:val="32"/>
          <w:szCs w:val="32"/>
        </w:rPr>
        <w:t>投标保函或投标保证保险提交投标保证金的，在开标前不得强制要求投标人提交纸质原件，由中标候选人在中标候选人公示前提交并在网上公示，但投标人应在投标文件中提交投标保函或投标保证保险</w:t>
      </w:r>
      <w:r w:rsidR="00BB7DD1" w:rsidRPr="002A60BA">
        <w:rPr>
          <w:rFonts w:ascii="仿宋" w:eastAsia="仿宋" w:hAnsi="仿宋" w:cs="仿宋_GB2312" w:hint="eastAsia"/>
          <w:color w:val="000000" w:themeColor="text1"/>
          <w:kern w:val="0"/>
          <w:sz w:val="32"/>
          <w:szCs w:val="32"/>
        </w:rPr>
        <w:t>扫描件</w:t>
      </w:r>
      <w:r w:rsidRPr="002A60BA">
        <w:rPr>
          <w:rFonts w:ascii="仿宋" w:eastAsia="仿宋" w:hAnsi="仿宋" w:cs="仿宋_GB2312" w:hint="eastAsia"/>
          <w:color w:val="000000" w:themeColor="text1"/>
          <w:kern w:val="0"/>
          <w:sz w:val="32"/>
          <w:szCs w:val="32"/>
        </w:rPr>
        <w:t>并加盖投标人印章；</w:t>
      </w:r>
      <w:r w:rsidR="00BB7DD1" w:rsidRPr="002A60BA">
        <w:rPr>
          <w:rFonts w:ascii="仿宋" w:eastAsia="仿宋" w:hAnsi="仿宋" w:cs="仿宋_GB2312" w:hint="eastAsia"/>
          <w:color w:val="000000" w:themeColor="text1"/>
          <w:kern w:val="0"/>
          <w:sz w:val="32"/>
          <w:szCs w:val="32"/>
        </w:rPr>
        <w:t>如</w:t>
      </w:r>
      <w:r w:rsidR="00BB7DD1" w:rsidRPr="002A60BA">
        <w:rPr>
          <w:rFonts w:ascii="仿宋" w:eastAsia="仿宋" w:hAnsi="仿宋" w:cs="仿宋_GB2312"/>
          <w:color w:val="000000" w:themeColor="text1"/>
          <w:kern w:val="0"/>
          <w:sz w:val="32"/>
          <w:szCs w:val="32"/>
        </w:rPr>
        <w:t>采用电子保函</w:t>
      </w:r>
      <w:r w:rsidR="00BB7DD1" w:rsidRPr="002A60BA">
        <w:rPr>
          <w:rFonts w:ascii="仿宋" w:eastAsia="仿宋" w:hAnsi="仿宋" w:cs="仿宋_GB2312" w:hint="eastAsia"/>
          <w:color w:val="000000" w:themeColor="text1"/>
          <w:kern w:val="0"/>
          <w:sz w:val="32"/>
          <w:szCs w:val="32"/>
        </w:rPr>
        <w:t>提交</w:t>
      </w:r>
      <w:r w:rsidR="00BB7DD1" w:rsidRPr="002A60BA">
        <w:rPr>
          <w:rFonts w:ascii="仿宋" w:eastAsia="仿宋" w:hAnsi="仿宋" w:cs="仿宋_GB2312"/>
          <w:color w:val="000000" w:themeColor="text1"/>
          <w:kern w:val="0"/>
          <w:sz w:val="32"/>
          <w:szCs w:val="32"/>
        </w:rPr>
        <w:t>投标保证金的，应在招标文件中明确</w:t>
      </w:r>
      <w:r w:rsidR="00BB7DD1" w:rsidRPr="002A60BA">
        <w:rPr>
          <w:rFonts w:ascii="仿宋" w:eastAsia="仿宋" w:hAnsi="仿宋" w:cs="仿宋_GB2312" w:hint="eastAsia"/>
          <w:color w:val="000000" w:themeColor="text1"/>
          <w:kern w:val="0"/>
          <w:sz w:val="32"/>
          <w:szCs w:val="32"/>
        </w:rPr>
        <w:t>电子</w:t>
      </w:r>
      <w:r w:rsidR="00BB7DD1" w:rsidRPr="002A60BA">
        <w:rPr>
          <w:rFonts w:ascii="仿宋" w:eastAsia="仿宋" w:hAnsi="仿宋" w:cs="仿宋_GB2312"/>
          <w:color w:val="000000" w:themeColor="text1"/>
          <w:kern w:val="0"/>
          <w:sz w:val="32"/>
          <w:szCs w:val="32"/>
        </w:rPr>
        <w:t>递交途径；</w:t>
      </w:r>
      <w:r w:rsidRPr="002A60BA">
        <w:rPr>
          <w:rFonts w:ascii="仿宋" w:eastAsia="仿宋" w:hAnsi="仿宋" w:cs="仿宋_GB2312" w:hint="eastAsia"/>
          <w:color w:val="000000" w:themeColor="text1"/>
          <w:kern w:val="0"/>
          <w:sz w:val="32"/>
          <w:szCs w:val="32"/>
        </w:rPr>
        <w:t>如采用现金或者支票形式提交投标保证金的，必须由投标人的银行基本账户转出。</w:t>
      </w:r>
    </w:p>
    <w:p w:rsidR="0019474E" w:rsidRPr="002A60BA" w:rsidRDefault="00492350" w:rsidP="0019474E">
      <w:pPr>
        <w:adjustRightInd w:val="0"/>
        <w:snapToGrid w:val="0"/>
        <w:spacing w:line="360" w:lineRule="auto"/>
        <w:ind w:firstLineChars="200" w:firstLine="640"/>
        <w:jc w:val="left"/>
        <w:rPr>
          <w:rFonts w:ascii="黑体" w:eastAsia="黑体" w:hAnsi="黑体" w:cs="黑体"/>
          <w:color w:val="000000" w:themeColor="text1"/>
          <w:kern w:val="0"/>
          <w:sz w:val="32"/>
          <w:szCs w:val="32"/>
        </w:rPr>
      </w:pPr>
      <w:r w:rsidRPr="002A60BA">
        <w:rPr>
          <w:rFonts w:ascii="黑体" w:eastAsia="黑体" w:hAnsi="黑体" w:cs="黑体" w:hint="eastAsia"/>
          <w:color w:val="000000" w:themeColor="text1"/>
          <w:kern w:val="0"/>
          <w:sz w:val="32"/>
          <w:szCs w:val="32"/>
        </w:rPr>
        <w:t>二</w:t>
      </w:r>
      <w:r w:rsidR="0019474E" w:rsidRPr="002A60BA">
        <w:rPr>
          <w:rFonts w:ascii="黑体" w:eastAsia="黑体" w:hAnsi="黑体" w:cs="黑体" w:hint="eastAsia"/>
          <w:color w:val="000000" w:themeColor="text1"/>
          <w:kern w:val="0"/>
          <w:sz w:val="32"/>
          <w:szCs w:val="32"/>
        </w:rPr>
        <w:t>、保证金的形式</w:t>
      </w:r>
    </w:p>
    <w:p w:rsidR="00416E25" w:rsidRPr="002A60BA" w:rsidRDefault="00492350" w:rsidP="00492350">
      <w:pPr>
        <w:adjustRightInd w:val="0"/>
        <w:snapToGrid w:val="0"/>
        <w:spacing w:line="360" w:lineRule="auto"/>
        <w:ind w:firstLineChars="200" w:firstLine="640"/>
        <w:jc w:val="left"/>
        <w:rPr>
          <w:rFonts w:ascii="仿宋" w:eastAsia="仿宋" w:hAnsi="仿宋" w:cs="仿宋_GB2312"/>
          <w:color w:val="000000" w:themeColor="text1"/>
          <w:kern w:val="0"/>
          <w:sz w:val="32"/>
          <w:szCs w:val="32"/>
        </w:rPr>
      </w:pPr>
      <w:r w:rsidRPr="002A60BA">
        <w:rPr>
          <w:rFonts w:ascii="仿宋" w:eastAsia="仿宋" w:hAnsi="仿宋" w:cs="仿宋_GB2312" w:hint="eastAsia"/>
          <w:color w:val="000000" w:themeColor="text1"/>
          <w:kern w:val="0"/>
          <w:sz w:val="32"/>
          <w:szCs w:val="32"/>
        </w:rPr>
        <w:t>保证金形式包括现金、银行保函、保证保险、专业担保公司担保等。银行保函、保证保险、专业担保公司担保等保证担保形式</w:t>
      </w:r>
      <w:r w:rsidR="0019474E" w:rsidRPr="002A60BA">
        <w:rPr>
          <w:rFonts w:ascii="仿宋" w:eastAsia="仿宋" w:hAnsi="仿宋" w:cs="仿宋_GB2312" w:hint="eastAsia"/>
          <w:color w:val="000000" w:themeColor="text1"/>
          <w:kern w:val="0"/>
          <w:sz w:val="32"/>
          <w:szCs w:val="32"/>
        </w:rPr>
        <w:t>不产生利息退还等问题，</w:t>
      </w:r>
      <w:r w:rsidR="00BB7B2F" w:rsidRPr="002A60BA">
        <w:rPr>
          <w:rFonts w:ascii="仿宋" w:eastAsia="仿宋" w:hAnsi="仿宋" w:cs="仿宋_GB2312" w:hint="eastAsia"/>
          <w:color w:val="000000" w:themeColor="text1"/>
          <w:kern w:val="0"/>
          <w:sz w:val="32"/>
          <w:szCs w:val="32"/>
        </w:rPr>
        <w:t>结合疫情防控期间减少人员聚集的要求，</w:t>
      </w:r>
      <w:r w:rsidR="00E30481" w:rsidRPr="002A60BA">
        <w:rPr>
          <w:rFonts w:ascii="仿宋" w:eastAsia="仿宋" w:hAnsi="仿宋" w:cs="仿宋_GB2312" w:hint="eastAsia"/>
          <w:color w:val="000000" w:themeColor="text1"/>
          <w:kern w:val="0"/>
          <w:sz w:val="32"/>
          <w:szCs w:val="32"/>
        </w:rPr>
        <w:t>鼓励招标人</w:t>
      </w:r>
      <w:r w:rsidR="00BB7DD1" w:rsidRPr="002A60BA">
        <w:rPr>
          <w:rFonts w:ascii="仿宋" w:eastAsia="仿宋" w:hAnsi="仿宋" w:cs="仿宋_GB2312" w:hint="eastAsia"/>
          <w:color w:val="000000" w:themeColor="text1"/>
          <w:kern w:val="0"/>
          <w:sz w:val="32"/>
          <w:szCs w:val="32"/>
        </w:rPr>
        <w:t>丰富</w:t>
      </w:r>
      <w:r w:rsidR="00025C57" w:rsidRPr="002A60BA">
        <w:rPr>
          <w:rFonts w:ascii="仿宋" w:eastAsia="仿宋" w:hAnsi="仿宋" w:cs="仿宋_GB2312" w:hint="eastAsia"/>
          <w:color w:val="000000" w:themeColor="text1"/>
          <w:kern w:val="0"/>
          <w:sz w:val="32"/>
          <w:szCs w:val="32"/>
        </w:rPr>
        <w:t>投标担保</w:t>
      </w:r>
      <w:r w:rsidR="00BB7DD1" w:rsidRPr="002A60BA">
        <w:rPr>
          <w:rFonts w:ascii="仿宋" w:eastAsia="仿宋" w:hAnsi="仿宋" w:cs="仿宋_GB2312" w:hint="eastAsia"/>
          <w:color w:val="000000" w:themeColor="text1"/>
          <w:kern w:val="0"/>
          <w:sz w:val="32"/>
          <w:szCs w:val="32"/>
        </w:rPr>
        <w:t>形式</w:t>
      </w:r>
      <w:r w:rsidR="00025C57" w:rsidRPr="002A60BA">
        <w:rPr>
          <w:rFonts w:ascii="仿宋" w:eastAsia="仿宋" w:hAnsi="仿宋" w:cs="仿宋_GB2312" w:hint="eastAsia"/>
          <w:color w:val="000000" w:themeColor="text1"/>
          <w:kern w:val="0"/>
          <w:sz w:val="32"/>
          <w:szCs w:val="32"/>
        </w:rPr>
        <w:t>，</w:t>
      </w:r>
      <w:r w:rsidR="00BB7DD1" w:rsidRPr="002A60BA">
        <w:rPr>
          <w:rFonts w:ascii="仿宋" w:eastAsia="仿宋" w:hAnsi="仿宋" w:cs="仿宋_GB2312" w:hint="eastAsia"/>
          <w:color w:val="000000" w:themeColor="text1"/>
          <w:kern w:val="0"/>
          <w:sz w:val="32"/>
          <w:szCs w:val="32"/>
        </w:rPr>
        <w:t>允许</w:t>
      </w:r>
      <w:r w:rsidR="00BB7DD1" w:rsidRPr="002A60BA">
        <w:rPr>
          <w:rFonts w:ascii="仿宋" w:eastAsia="仿宋" w:hAnsi="仿宋" w:cs="仿宋_GB2312"/>
          <w:color w:val="000000" w:themeColor="text1"/>
          <w:kern w:val="0"/>
          <w:sz w:val="32"/>
          <w:szCs w:val="32"/>
        </w:rPr>
        <w:t>投标人</w:t>
      </w:r>
      <w:r w:rsidR="00E30481" w:rsidRPr="002A60BA">
        <w:rPr>
          <w:rFonts w:ascii="仿宋" w:eastAsia="仿宋" w:hAnsi="仿宋" w:cs="仿宋_GB2312" w:hint="eastAsia"/>
          <w:color w:val="000000" w:themeColor="text1"/>
          <w:kern w:val="0"/>
          <w:sz w:val="32"/>
          <w:szCs w:val="32"/>
        </w:rPr>
        <w:t>优先使用</w:t>
      </w:r>
      <w:r w:rsidR="00BB7B2F" w:rsidRPr="002A60BA">
        <w:rPr>
          <w:rFonts w:ascii="仿宋" w:eastAsia="仿宋" w:hAnsi="仿宋" w:cs="仿宋_GB2312" w:hint="eastAsia"/>
          <w:color w:val="000000" w:themeColor="text1"/>
          <w:kern w:val="0"/>
          <w:sz w:val="32"/>
          <w:szCs w:val="32"/>
        </w:rPr>
        <w:t>保函</w:t>
      </w:r>
      <w:r w:rsidR="00E30481" w:rsidRPr="002A60BA">
        <w:rPr>
          <w:rFonts w:ascii="仿宋" w:eastAsia="仿宋" w:hAnsi="仿宋" w:cs="仿宋_GB2312" w:hint="eastAsia"/>
          <w:color w:val="000000" w:themeColor="text1"/>
          <w:kern w:val="0"/>
          <w:sz w:val="32"/>
          <w:szCs w:val="32"/>
        </w:rPr>
        <w:t>特别是电子保函替代现金保证金。</w:t>
      </w:r>
    </w:p>
    <w:p w:rsidR="008768FC" w:rsidRPr="002A60BA" w:rsidRDefault="0019474E" w:rsidP="00C111D6">
      <w:pPr>
        <w:adjustRightInd w:val="0"/>
        <w:snapToGrid w:val="0"/>
        <w:spacing w:line="360" w:lineRule="auto"/>
        <w:ind w:firstLineChars="200" w:firstLine="640"/>
        <w:jc w:val="left"/>
        <w:rPr>
          <w:rFonts w:ascii="黑体" w:eastAsia="黑体" w:hAnsi="黑体" w:cs="黑体"/>
          <w:color w:val="000000" w:themeColor="text1"/>
          <w:kern w:val="0"/>
          <w:sz w:val="32"/>
          <w:szCs w:val="32"/>
        </w:rPr>
      </w:pPr>
      <w:r w:rsidRPr="002A60BA">
        <w:rPr>
          <w:rFonts w:ascii="黑体" w:eastAsia="黑体" w:hAnsi="黑体" w:cs="黑体" w:hint="eastAsia"/>
          <w:color w:val="000000" w:themeColor="text1"/>
          <w:kern w:val="0"/>
          <w:sz w:val="32"/>
          <w:szCs w:val="32"/>
        </w:rPr>
        <w:t>三、</w:t>
      </w:r>
      <w:r w:rsidR="008768FC" w:rsidRPr="002A60BA">
        <w:rPr>
          <w:rFonts w:ascii="黑体" w:eastAsia="黑体" w:hAnsi="黑体" w:cs="黑体" w:hint="eastAsia"/>
          <w:color w:val="000000" w:themeColor="text1"/>
          <w:kern w:val="0"/>
          <w:sz w:val="32"/>
          <w:szCs w:val="32"/>
        </w:rPr>
        <w:t>保证金</w:t>
      </w:r>
      <w:r w:rsidR="00492350" w:rsidRPr="002A60BA">
        <w:rPr>
          <w:rFonts w:ascii="黑体" w:eastAsia="黑体" w:hAnsi="黑体" w:cs="黑体" w:hint="eastAsia"/>
          <w:color w:val="000000" w:themeColor="text1"/>
          <w:kern w:val="0"/>
          <w:sz w:val="32"/>
          <w:szCs w:val="32"/>
        </w:rPr>
        <w:t>的</w:t>
      </w:r>
      <w:r w:rsidR="008768FC" w:rsidRPr="002A60BA">
        <w:rPr>
          <w:rFonts w:ascii="黑体" w:eastAsia="黑体" w:hAnsi="黑体" w:cs="黑体" w:hint="eastAsia"/>
          <w:color w:val="000000" w:themeColor="text1"/>
          <w:kern w:val="0"/>
          <w:sz w:val="32"/>
          <w:szCs w:val="32"/>
        </w:rPr>
        <w:t>收取返还行为</w:t>
      </w:r>
    </w:p>
    <w:p w:rsidR="008768FC" w:rsidRPr="002A60BA" w:rsidRDefault="005670EE" w:rsidP="005670EE">
      <w:pPr>
        <w:adjustRightInd w:val="0"/>
        <w:snapToGrid w:val="0"/>
        <w:spacing w:line="360" w:lineRule="auto"/>
        <w:ind w:firstLineChars="200" w:firstLine="640"/>
        <w:jc w:val="left"/>
        <w:rPr>
          <w:rFonts w:ascii="仿宋" w:eastAsia="仿宋" w:hAnsi="仿宋" w:cs="仿宋_GB2312"/>
          <w:color w:val="000000" w:themeColor="text1"/>
          <w:kern w:val="0"/>
          <w:sz w:val="32"/>
          <w:szCs w:val="32"/>
        </w:rPr>
      </w:pPr>
      <w:r w:rsidRPr="002A60BA">
        <w:rPr>
          <w:rFonts w:ascii="仿宋" w:eastAsia="仿宋" w:hAnsi="仿宋" w:cs="仿宋_GB2312" w:hint="eastAsia"/>
          <w:color w:val="000000" w:themeColor="text1"/>
          <w:kern w:val="0"/>
          <w:sz w:val="32"/>
          <w:szCs w:val="32"/>
        </w:rPr>
        <w:t>（一）投标保证金。</w:t>
      </w:r>
      <w:r w:rsidR="008768FC" w:rsidRPr="002A60BA">
        <w:rPr>
          <w:rFonts w:ascii="仿宋" w:eastAsia="仿宋" w:hAnsi="仿宋" w:cs="仿宋_GB2312" w:hint="eastAsia"/>
          <w:color w:val="000000" w:themeColor="text1"/>
          <w:kern w:val="0"/>
          <w:sz w:val="32"/>
          <w:szCs w:val="32"/>
        </w:rPr>
        <w:t>招标文件要求投标人提交投标保证</w:t>
      </w:r>
      <w:r w:rsidR="008768FC" w:rsidRPr="002A60BA">
        <w:rPr>
          <w:rFonts w:ascii="仿宋" w:eastAsia="仿宋" w:hAnsi="仿宋" w:cs="仿宋_GB2312" w:hint="eastAsia"/>
          <w:color w:val="000000" w:themeColor="text1"/>
          <w:kern w:val="0"/>
          <w:sz w:val="32"/>
          <w:szCs w:val="32"/>
        </w:rPr>
        <w:lastRenderedPageBreak/>
        <w:t>金的，投标保证金不得超过招标项目估算价的2%，投标保证金有效期应当与投标文件有效期一致，房屋建筑工程施工招标</w:t>
      </w:r>
      <w:r w:rsidR="00BB7DD1" w:rsidRPr="002A60BA">
        <w:rPr>
          <w:rFonts w:ascii="仿宋" w:eastAsia="仿宋" w:hAnsi="仿宋" w:cs="仿宋_GB2312" w:hint="eastAsia"/>
          <w:color w:val="000000" w:themeColor="text1"/>
          <w:kern w:val="0"/>
          <w:sz w:val="32"/>
          <w:szCs w:val="32"/>
        </w:rPr>
        <w:t>项目</w:t>
      </w:r>
      <w:r w:rsidR="008768FC" w:rsidRPr="002A60BA">
        <w:rPr>
          <w:rFonts w:ascii="仿宋" w:eastAsia="仿宋" w:hAnsi="仿宋" w:cs="仿宋_GB2312" w:hint="eastAsia"/>
          <w:color w:val="000000" w:themeColor="text1"/>
          <w:kern w:val="0"/>
          <w:sz w:val="32"/>
          <w:szCs w:val="32"/>
        </w:rPr>
        <w:t>的投标保证金最高不得超过50万元</w:t>
      </w:r>
      <w:r w:rsidR="00BB7DD1" w:rsidRPr="002A60BA">
        <w:rPr>
          <w:rFonts w:ascii="仿宋" w:eastAsia="仿宋" w:hAnsi="仿宋" w:cs="仿宋_GB2312" w:hint="eastAsia"/>
          <w:color w:val="000000" w:themeColor="text1"/>
          <w:kern w:val="0"/>
          <w:sz w:val="32"/>
          <w:szCs w:val="32"/>
        </w:rPr>
        <w:t>；</w:t>
      </w:r>
      <w:r w:rsidR="00BB7DD1" w:rsidRPr="002A60BA">
        <w:rPr>
          <w:rFonts w:ascii="仿宋" w:eastAsia="仿宋" w:hAnsi="仿宋" w:cs="仿宋_GB2312"/>
          <w:color w:val="000000" w:themeColor="text1"/>
          <w:kern w:val="0"/>
          <w:sz w:val="32"/>
          <w:szCs w:val="32"/>
        </w:rPr>
        <w:t>勘察设计</w:t>
      </w:r>
      <w:r w:rsidR="00BB7DD1" w:rsidRPr="002A60BA">
        <w:rPr>
          <w:rFonts w:ascii="仿宋" w:eastAsia="仿宋" w:hAnsi="仿宋" w:cs="仿宋_GB2312" w:hint="eastAsia"/>
          <w:color w:val="000000" w:themeColor="text1"/>
          <w:kern w:val="0"/>
          <w:sz w:val="32"/>
          <w:szCs w:val="32"/>
        </w:rPr>
        <w:t>招标</w:t>
      </w:r>
      <w:r w:rsidR="00BB7DD1" w:rsidRPr="002A60BA">
        <w:rPr>
          <w:rFonts w:ascii="仿宋" w:eastAsia="仿宋" w:hAnsi="仿宋" w:cs="仿宋_GB2312"/>
          <w:color w:val="000000" w:themeColor="text1"/>
          <w:kern w:val="0"/>
          <w:sz w:val="32"/>
          <w:szCs w:val="32"/>
        </w:rPr>
        <w:t>项目的投标保证金最高不得超过</w:t>
      </w:r>
      <w:r w:rsidR="00BB7DD1" w:rsidRPr="002A60BA">
        <w:rPr>
          <w:rFonts w:ascii="仿宋" w:eastAsia="仿宋" w:hAnsi="仿宋" w:cs="仿宋_GB2312" w:hint="eastAsia"/>
          <w:color w:val="000000" w:themeColor="text1"/>
          <w:kern w:val="0"/>
          <w:sz w:val="32"/>
          <w:szCs w:val="32"/>
        </w:rPr>
        <w:t>10万元</w:t>
      </w:r>
      <w:r w:rsidR="008768FC" w:rsidRPr="002A60BA">
        <w:rPr>
          <w:rFonts w:ascii="仿宋" w:eastAsia="仿宋" w:hAnsi="仿宋" w:cs="仿宋_GB2312" w:hint="eastAsia"/>
          <w:color w:val="000000" w:themeColor="text1"/>
          <w:kern w:val="0"/>
          <w:sz w:val="32"/>
          <w:szCs w:val="32"/>
        </w:rPr>
        <w:t>。招标人和中标人应当自中标通知书发出之日起三十日内，按照招标文件和中标人的投标文件订立书面合同；招标人应当在中标通知书发出五日内将投标保证金及其银行同期存款利息退回中标候选人以外的投标人，在书面合同订立之日起五日内将投标保证金及其银行同期存款利息退回中标人和其他中标候选人。</w:t>
      </w:r>
    </w:p>
    <w:p w:rsidR="008768FC" w:rsidRPr="002A60BA" w:rsidRDefault="005670EE" w:rsidP="005670EE">
      <w:pPr>
        <w:adjustRightInd w:val="0"/>
        <w:snapToGrid w:val="0"/>
        <w:spacing w:line="360" w:lineRule="auto"/>
        <w:ind w:firstLineChars="200" w:firstLine="640"/>
        <w:jc w:val="left"/>
        <w:rPr>
          <w:rFonts w:ascii="仿宋" w:eastAsia="仿宋" w:hAnsi="仿宋" w:cs="仿宋_GB2312"/>
          <w:color w:val="000000" w:themeColor="text1"/>
          <w:kern w:val="0"/>
          <w:sz w:val="32"/>
          <w:szCs w:val="32"/>
        </w:rPr>
      </w:pPr>
      <w:r w:rsidRPr="002A60BA">
        <w:rPr>
          <w:rFonts w:ascii="仿宋" w:eastAsia="仿宋" w:hAnsi="仿宋" w:cs="仿宋_GB2312" w:hint="eastAsia"/>
          <w:color w:val="000000" w:themeColor="text1"/>
          <w:kern w:val="0"/>
          <w:sz w:val="32"/>
          <w:szCs w:val="32"/>
        </w:rPr>
        <w:t>（二）履约保证金。招标文件要求投标人提交履约保证金的，履约保证金不得超过中标合同金额的10%，合理设置履约保证金期限。</w:t>
      </w:r>
      <w:r w:rsidR="00994518" w:rsidRPr="002A60BA">
        <w:rPr>
          <w:rFonts w:ascii="仿宋" w:eastAsia="仿宋" w:hAnsi="仿宋" w:cs="仿宋_GB2312" w:hint="eastAsia"/>
          <w:color w:val="000000" w:themeColor="text1"/>
          <w:kern w:val="0"/>
          <w:sz w:val="32"/>
          <w:szCs w:val="32"/>
        </w:rPr>
        <w:t>房屋建筑工程施工、货物招标的招标人要求中标人提供履约保证金</w:t>
      </w:r>
      <w:r w:rsidRPr="002A60BA">
        <w:rPr>
          <w:rFonts w:ascii="仿宋" w:eastAsia="仿宋" w:hAnsi="仿宋" w:cs="仿宋_GB2312" w:hint="eastAsia"/>
          <w:color w:val="000000" w:themeColor="text1"/>
          <w:kern w:val="0"/>
          <w:sz w:val="32"/>
          <w:szCs w:val="32"/>
        </w:rPr>
        <w:t>的，招标人应同时向中标人提供工程款支付担保。</w:t>
      </w:r>
    </w:p>
    <w:p w:rsidR="00F80BF9" w:rsidRPr="005670EE" w:rsidRDefault="00F80BF9" w:rsidP="005670EE">
      <w:pPr>
        <w:adjustRightInd w:val="0"/>
        <w:snapToGrid w:val="0"/>
        <w:spacing w:line="360" w:lineRule="auto"/>
        <w:ind w:firstLineChars="200" w:firstLine="643"/>
        <w:jc w:val="left"/>
        <w:rPr>
          <w:rFonts w:ascii="黑体" w:eastAsia="黑体" w:hAnsi="黑体" w:cs="黑体"/>
          <w:b/>
          <w:sz w:val="32"/>
          <w:szCs w:val="32"/>
        </w:rPr>
      </w:pPr>
    </w:p>
    <w:p w:rsidR="00994518" w:rsidRPr="005670EE" w:rsidRDefault="00994518" w:rsidP="00C111D6">
      <w:pPr>
        <w:adjustRightInd w:val="0"/>
        <w:snapToGrid w:val="0"/>
        <w:spacing w:line="360" w:lineRule="auto"/>
        <w:ind w:firstLineChars="200" w:firstLine="640"/>
        <w:jc w:val="left"/>
        <w:rPr>
          <w:rFonts w:ascii="仿宋_GB2312" w:eastAsia="仿宋_GB2312" w:hAnsi="黑体" w:cs="黑体"/>
          <w:sz w:val="32"/>
          <w:szCs w:val="32"/>
        </w:rPr>
      </w:pPr>
    </w:p>
    <w:sectPr w:rsidR="00994518" w:rsidRPr="005670E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A9" w:rsidRDefault="00847EA9">
      <w:r>
        <w:separator/>
      </w:r>
    </w:p>
  </w:endnote>
  <w:endnote w:type="continuationSeparator" w:id="0">
    <w:p w:rsidR="00847EA9" w:rsidRDefault="0084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78" w:rsidRDefault="00F819CE">
    <w:pPr>
      <w:pStyle w:val="a3"/>
      <w:jc w:val="right"/>
    </w:pPr>
    <w:r>
      <w:fldChar w:fldCharType="begin"/>
    </w:r>
    <w:r>
      <w:instrText>PAGE   \* MERGEFORMAT</w:instrText>
    </w:r>
    <w:r>
      <w:fldChar w:fldCharType="separate"/>
    </w:r>
    <w:r w:rsidR="00183FCB" w:rsidRPr="00183FCB">
      <w:rPr>
        <w:noProof/>
        <w:lang w:val="zh-CN"/>
      </w:rPr>
      <w:t>1</w:t>
    </w:r>
    <w:r>
      <w:fldChar w:fldCharType="end"/>
    </w:r>
  </w:p>
  <w:p w:rsidR="00984778" w:rsidRDefault="009847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A9" w:rsidRDefault="00847EA9">
      <w:r>
        <w:separator/>
      </w:r>
    </w:p>
  </w:footnote>
  <w:footnote w:type="continuationSeparator" w:id="0">
    <w:p w:rsidR="00847EA9" w:rsidRDefault="00847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832DD"/>
    <w:multiLevelType w:val="multilevel"/>
    <w:tmpl w:val="705832DD"/>
    <w:lvl w:ilvl="0">
      <w:start w:val="1"/>
      <w:numFmt w:val="japaneseCounting"/>
      <w:lvlText w:val="（%1）"/>
      <w:lvlJc w:val="left"/>
      <w:pPr>
        <w:ind w:left="1790" w:hanging="108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
    <w:nsid w:val="7D8058A2"/>
    <w:multiLevelType w:val="hybridMultilevel"/>
    <w:tmpl w:val="87180D4A"/>
    <w:lvl w:ilvl="0" w:tplc="C8702B2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97764"/>
    <w:rsid w:val="0001323A"/>
    <w:rsid w:val="00025C57"/>
    <w:rsid w:val="000404F2"/>
    <w:rsid w:val="00096D63"/>
    <w:rsid w:val="000C02A6"/>
    <w:rsid w:val="000C3C6D"/>
    <w:rsid w:val="00113AB4"/>
    <w:rsid w:val="00145848"/>
    <w:rsid w:val="00150B8D"/>
    <w:rsid w:val="0016340E"/>
    <w:rsid w:val="00165130"/>
    <w:rsid w:val="00167A03"/>
    <w:rsid w:val="001716B4"/>
    <w:rsid w:val="001726C4"/>
    <w:rsid w:val="00183FCB"/>
    <w:rsid w:val="0019474E"/>
    <w:rsid w:val="001E0062"/>
    <w:rsid w:val="0020171D"/>
    <w:rsid w:val="00235814"/>
    <w:rsid w:val="00240A76"/>
    <w:rsid w:val="00242777"/>
    <w:rsid w:val="00262781"/>
    <w:rsid w:val="002A0000"/>
    <w:rsid w:val="002A60BA"/>
    <w:rsid w:val="002C3E39"/>
    <w:rsid w:val="002D177F"/>
    <w:rsid w:val="002F5C58"/>
    <w:rsid w:val="003006F1"/>
    <w:rsid w:val="00340B56"/>
    <w:rsid w:val="003426C2"/>
    <w:rsid w:val="003946B0"/>
    <w:rsid w:val="003A4A91"/>
    <w:rsid w:val="003C1329"/>
    <w:rsid w:val="004072CB"/>
    <w:rsid w:val="00416E25"/>
    <w:rsid w:val="00417ECE"/>
    <w:rsid w:val="00442B7B"/>
    <w:rsid w:val="00457BAD"/>
    <w:rsid w:val="00472845"/>
    <w:rsid w:val="00492350"/>
    <w:rsid w:val="00493864"/>
    <w:rsid w:val="004E7CA9"/>
    <w:rsid w:val="0056494D"/>
    <w:rsid w:val="005670EE"/>
    <w:rsid w:val="005B54DD"/>
    <w:rsid w:val="005D0046"/>
    <w:rsid w:val="005F47DF"/>
    <w:rsid w:val="00620400"/>
    <w:rsid w:val="006278C5"/>
    <w:rsid w:val="00680D36"/>
    <w:rsid w:val="00685530"/>
    <w:rsid w:val="006D2E24"/>
    <w:rsid w:val="006D7CD1"/>
    <w:rsid w:val="006E3E06"/>
    <w:rsid w:val="00707722"/>
    <w:rsid w:val="007417F7"/>
    <w:rsid w:val="007565C7"/>
    <w:rsid w:val="00767660"/>
    <w:rsid w:val="007A0355"/>
    <w:rsid w:val="007C1CDE"/>
    <w:rsid w:val="007D4053"/>
    <w:rsid w:val="007E5B6D"/>
    <w:rsid w:val="0083535B"/>
    <w:rsid w:val="00844B64"/>
    <w:rsid w:val="00847EA9"/>
    <w:rsid w:val="00850BFB"/>
    <w:rsid w:val="00857757"/>
    <w:rsid w:val="00865CDD"/>
    <w:rsid w:val="008768FC"/>
    <w:rsid w:val="008D210A"/>
    <w:rsid w:val="008E27B4"/>
    <w:rsid w:val="008F03F4"/>
    <w:rsid w:val="0090292A"/>
    <w:rsid w:val="009470EE"/>
    <w:rsid w:val="0097036A"/>
    <w:rsid w:val="00977ED7"/>
    <w:rsid w:val="00984778"/>
    <w:rsid w:val="00984873"/>
    <w:rsid w:val="009864D7"/>
    <w:rsid w:val="00994518"/>
    <w:rsid w:val="00996C5E"/>
    <w:rsid w:val="009B272D"/>
    <w:rsid w:val="00A1505C"/>
    <w:rsid w:val="00A33877"/>
    <w:rsid w:val="00A55753"/>
    <w:rsid w:val="00A763D8"/>
    <w:rsid w:val="00AE27EA"/>
    <w:rsid w:val="00B73908"/>
    <w:rsid w:val="00B9519A"/>
    <w:rsid w:val="00BB3D84"/>
    <w:rsid w:val="00BB7B2F"/>
    <w:rsid w:val="00BB7DD1"/>
    <w:rsid w:val="00BC5F56"/>
    <w:rsid w:val="00C111D6"/>
    <w:rsid w:val="00C31C4A"/>
    <w:rsid w:val="00C638B6"/>
    <w:rsid w:val="00CA38D0"/>
    <w:rsid w:val="00CF3DBF"/>
    <w:rsid w:val="00D073FA"/>
    <w:rsid w:val="00D26ADE"/>
    <w:rsid w:val="00D92214"/>
    <w:rsid w:val="00D93F91"/>
    <w:rsid w:val="00DA7411"/>
    <w:rsid w:val="00DC0E95"/>
    <w:rsid w:val="00DD3CF5"/>
    <w:rsid w:val="00DE6BEC"/>
    <w:rsid w:val="00E23C3D"/>
    <w:rsid w:val="00E30481"/>
    <w:rsid w:val="00E30D9B"/>
    <w:rsid w:val="00EC1ED3"/>
    <w:rsid w:val="00EC54E4"/>
    <w:rsid w:val="00F31D1D"/>
    <w:rsid w:val="00F44F30"/>
    <w:rsid w:val="00F52DD6"/>
    <w:rsid w:val="00F54198"/>
    <w:rsid w:val="00F60864"/>
    <w:rsid w:val="00F644D2"/>
    <w:rsid w:val="00F64571"/>
    <w:rsid w:val="00F80BF9"/>
    <w:rsid w:val="00F819CE"/>
    <w:rsid w:val="00F956D2"/>
    <w:rsid w:val="00FD5946"/>
    <w:rsid w:val="00FE6E7D"/>
    <w:rsid w:val="1E294B57"/>
    <w:rsid w:val="42A835C8"/>
    <w:rsid w:val="58E9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qFormat/>
    <w:rsid w:val="00A55753"/>
    <w:pPr>
      <w:keepNext/>
      <w:keepLines/>
      <w:spacing w:before="340" w:after="330" w:line="578"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cs="Times New Roman"/>
      <w:sz w:val="18"/>
      <w:szCs w:val="18"/>
    </w:rPr>
  </w:style>
  <w:style w:type="paragraph" w:styleId="a4">
    <w:name w:val="Normal (Web)"/>
    <w:basedOn w:val="a"/>
    <w:qFormat/>
    <w:pPr>
      <w:widowControl/>
      <w:spacing w:before="100" w:beforeAutospacing="1" w:after="100" w:afterAutospacing="1"/>
      <w:jc w:val="left"/>
    </w:pPr>
    <w:rPr>
      <w:rFonts w:ascii="宋体" w:hAnsi="宋体" w:cs="Times New Roman" w:hint="eastAsia"/>
      <w:kern w:val="0"/>
      <w:sz w:val="24"/>
      <w:szCs w:val="24"/>
    </w:rPr>
  </w:style>
  <w:style w:type="character" w:customStyle="1" w:styleId="1Char">
    <w:name w:val="标题 1 Char"/>
    <w:basedOn w:val="a0"/>
    <w:link w:val="1"/>
    <w:rsid w:val="00A55753"/>
    <w:rPr>
      <w:b/>
      <w:bCs/>
      <w:kern w:val="44"/>
      <w:sz w:val="44"/>
      <w:szCs w:val="44"/>
    </w:rPr>
  </w:style>
  <w:style w:type="character" w:customStyle="1" w:styleId="Char0">
    <w:name w:val="纯文本 Char"/>
    <w:link w:val="a5"/>
    <w:locked/>
    <w:rsid w:val="00BC5F56"/>
    <w:rPr>
      <w:rFonts w:ascii="宋体" w:hAnsi="Courier New"/>
      <w:kern w:val="2"/>
      <w:sz w:val="21"/>
    </w:rPr>
  </w:style>
  <w:style w:type="character" w:customStyle="1" w:styleId="Char">
    <w:name w:val="页脚 Char"/>
    <w:link w:val="a3"/>
    <w:uiPriority w:val="99"/>
    <w:rsid w:val="00BC5F56"/>
    <w:rPr>
      <w:rFonts w:ascii="Calibri" w:hAnsi="Calibri"/>
      <w:kern w:val="2"/>
      <w:sz w:val="18"/>
      <w:szCs w:val="18"/>
    </w:rPr>
  </w:style>
  <w:style w:type="character" w:styleId="a6">
    <w:name w:val="page number"/>
    <w:basedOn w:val="a0"/>
    <w:rsid w:val="00BC5F56"/>
  </w:style>
  <w:style w:type="paragraph" w:styleId="a5">
    <w:name w:val="Plain Text"/>
    <w:basedOn w:val="a"/>
    <w:link w:val="Char0"/>
    <w:rsid w:val="00BC5F56"/>
    <w:rPr>
      <w:rFonts w:ascii="宋体" w:hAnsi="Courier New" w:cs="Times New Roman"/>
      <w:szCs w:val="20"/>
    </w:rPr>
  </w:style>
  <w:style w:type="character" w:customStyle="1" w:styleId="Char1">
    <w:name w:val="纯文本 Char1"/>
    <w:basedOn w:val="a0"/>
    <w:rsid w:val="00BC5F56"/>
    <w:rPr>
      <w:rFonts w:ascii="宋体" w:hAnsi="Courier New" w:cs="Courier New"/>
      <w:kern w:val="2"/>
      <w:sz w:val="21"/>
      <w:szCs w:val="21"/>
    </w:rPr>
  </w:style>
  <w:style w:type="paragraph" w:styleId="a7">
    <w:name w:val="List Paragraph"/>
    <w:basedOn w:val="a"/>
    <w:uiPriority w:val="99"/>
    <w:rsid w:val="00D93F91"/>
    <w:pPr>
      <w:ind w:firstLineChars="200" w:firstLine="420"/>
    </w:pPr>
  </w:style>
  <w:style w:type="paragraph" w:styleId="a8">
    <w:name w:val="header"/>
    <w:basedOn w:val="a"/>
    <w:link w:val="Char2"/>
    <w:unhideWhenUsed/>
    <w:rsid w:val="00F44F3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F44F30"/>
    <w:rPr>
      <w:rFonts w:ascii="Calibri" w:hAnsi="Calibri" w:cs="Calibri"/>
      <w:kern w:val="2"/>
      <w:sz w:val="18"/>
      <w:szCs w:val="18"/>
    </w:rPr>
  </w:style>
  <w:style w:type="paragraph" w:styleId="a9">
    <w:name w:val="Balloon Text"/>
    <w:basedOn w:val="a"/>
    <w:link w:val="Char3"/>
    <w:semiHidden/>
    <w:rsid w:val="00EC1ED3"/>
    <w:rPr>
      <w:rFonts w:cs="Times New Roman"/>
      <w:sz w:val="18"/>
      <w:szCs w:val="18"/>
      <w:lang w:val="x-none" w:eastAsia="x-none"/>
    </w:rPr>
  </w:style>
  <w:style w:type="character" w:customStyle="1" w:styleId="Char3">
    <w:name w:val="批注框文本 Char"/>
    <w:basedOn w:val="a0"/>
    <w:link w:val="a9"/>
    <w:semiHidden/>
    <w:rsid w:val="00EC1ED3"/>
    <w:rPr>
      <w:rFonts w:ascii="Calibri" w:hAnsi="Calibri"/>
      <w:kern w:val="2"/>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qFormat/>
    <w:rsid w:val="00A55753"/>
    <w:pPr>
      <w:keepNext/>
      <w:keepLines/>
      <w:spacing w:before="340" w:after="330" w:line="578"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cs="Times New Roman"/>
      <w:sz w:val="18"/>
      <w:szCs w:val="18"/>
    </w:rPr>
  </w:style>
  <w:style w:type="paragraph" w:styleId="a4">
    <w:name w:val="Normal (Web)"/>
    <w:basedOn w:val="a"/>
    <w:qFormat/>
    <w:pPr>
      <w:widowControl/>
      <w:spacing w:before="100" w:beforeAutospacing="1" w:after="100" w:afterAutospacing="1"/>
      <w:jc w:val="left"/>
    </w:pPr>
    <w:rPr>
      <w:rFonts w:ascii="宋体" w:hAnsi="宋体" w:cs="Times New Roman" w:hint="eastAsia"/>
      <w:kern w:val="0"/>
      <w:sz w:val="24"/>
      <w:szCs w:val="24"/>
    </w:rPr>
  </w:style>
  <w:style w:type="character" w:customStyle="1" w:styleId="1Char">
    <w:name w:val="标题 1 Char"/>
    <w:basedOn w:val="a0"/>
    <w:link w:val="1"/>
    <w:rsid w:val="00A55753"/>
    <w:rPr>
      <w:b/>
      <w:bCs/>
      <w:kern w:val="44"/>
      <w:sz w:val="44"/>
      <w:szCs w:val="44"/>
    </w:rPr>
  </w:style>
  <w:style w:type="character" w:customStyle="1" w:styleId="Char0">
    <w:name w:val="纯文本 Char"/>
    <w:link w:val="a5"/>
    <w:locked/>
    <w:rsid w:val="00BC5F56"/>
    <w:rPr>
      <w:rFonts w:ascii="宋体" w:hAnsi="Courier New"/>
      <w:kern w:val="2"/>
      <w:sz w:val="21"/>
    </w:rPr>
  </w:style>
  <w:style w:type="character" w:customStyle="1" w:styleId="Char">
    <w:name w:val="页脚 Char"/>
    <w:link w:val="a3"/>
    <w:uiPriority w:val="99"/>
    <w:rsid w:val="00BC5F56"/>
    <w:rPr>
      <w:rFonts w:ascii="Calibri" w:hAnsi="Calibri"/>
      <w:kern w:val="2"/>
      <w:sz w:val="18"/>
      <w:szCs w:val="18"/>
    </w:rPr>
  </w:style>
  <w:style w:type="character" w:styleId="a6">
    <w:name w:val="page number"/>
    <w:basedOn w:val="a0"/>
    <w:rsid w:val="00BC5F56"/>
  </w:style>
  <w:style w:type="paragraph" w:styleId="a5">
    <w:name w:val="Plain Text"/>
    <w:basedOn w:val="a"/>
    <w:link w:val="Char0"/>
    <w:rsid w:val="00BC5F56"/>
    <w:rPr>
      <w:rFonts w:ascii="宋体" w:hAnsi="Courier New" w:cs="Times New Roman"/>
      <w:szCs w:val="20"/>
    </w:rPr>
  </w:style>
  <w:style w:type="character" w:customStyle="1" w:styleId="Char1">
    <w:name w:val="纯文本 Char1"/>
    <w:basedOn w:val="a0"/>
    <w:rsid w:val="00BC5F56"/>
    <w:rPr>
      <w:rFonts w:ascii="宋体" w:hAnsi="Courier New" w:cs="Courier New"/>
      <w:kern w:val="2"/>
      <w:sz w:val="21"/>
      <w:szCs w:val="21"/>
    </w:rPr>
  </w:style>
  <w:style w:type="paragraph" w:styleId="a7">
    <w:name w:val="List Paragraph"/>
    <w:basedOn w:val="a"/>
    <w:uiPriority w:val="99"/>
    <w:rsid w:val="00D93F91"/>
    <w:pPr>
      <w:ind w:firstLineChars="200" w:firstLine="420"/>
    </w:pPr>
  </w:style>
  <w:style w:type="paragraph" w:styleId="a8">
    <w:name w:val="header"/>
    <w:basedOn w:val="a"/>
    <w:link w:val="Char2"/>
    <w:unhideWhenUsed/>
    <w:rsid w:val="00F44F3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F44F30"/>
    <w:rPr>
      <w:rFonts w:ascii="Calibri" w:hAnsi="Calibri" w:cs="Calibri"/>
      <w:kern w:val="2"/>
      <w:sz w:val="18"/>
      <w:szCs w:val="18"/>
    </w:rPr>
  </w:style>
  <w:style w:type="paragraph" w:styleId="a9">
    <w:name w:val="Balloon Text"/>
    <w:basedOn w:val="a"/>
    <w:link w:val="Char3"/>
    <w:semiHidden/>
    <w:rsid w:val="00EC1ED3"/>
    <w:rPr>
      <w:rFonts w:cs="Times New Roman"/>
      <w:sz w:val="18"/>
      <w:szCs w:val="18"/>
      <w:lang w:val="x-none" w:eastAsia="x-none"/>
    </w:rPr>
  </w:style>
  <w:style w:type="character" w:customStyle="1" w:styleId="Char3">
    <w:name w:val="批注框文本 Char"/>
    <w:basedOn w:val="a0"/>
    <w:link w:val="a9"/>
    <w:semiHidden/>
    <w:rsid w:val="00EC1ED3"/>
    <w:rPr>
      <w:rFonts w:ascii="Calibri" w:hAnsi="Calibri"/>
      <w:kern w:val="2"/>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C02E1-9F0F-410A-8BE1-55B4F4A5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1045</Characters>
  <Application>Microsoft Office Word</Application>
  <DocSecurity>0</DocSecurity>
  <Lines>8</Lines>
  <Paragraphs>2</Paragraphs>
  <ScaleCrop>false</ScaleCrop>
  <Company>Microsoft</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刘焓碧</dc:creator>
  <cp:lastModifiedBy>张志华</cp:lastModifiedBy>
  <cp:revision>2</cp:revision>
  <cp:lastPrinted>2020-08-06T06:28:00Z</cp:lastPrinted>
  <dcterms:created xsi:type="dcterms:W3CDTF">2020-09-03T09:20:00Z</dcterms:created>
  <dcterms:modified xsi:type="dcterms:W3CDTF">2020-09-03T09:20:00Z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